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83" w:rsidRDefault="001C7383">
      <w:pPr>
        <w:rPr>
          <w:rFonts w:hAnsi="Times New Roman" w:cs="Times New Roman"/>
          <w:color w:val="000000"/>
          <w:sz w:val="24"/>
          <w:szCs w:val="24"/>
        </w:rPr>
      </w:pPr>
    </w:p>
    <w:p w:rsidR="001C7383" w:rsidRPr="007069FB" w:rsidRDefault="00706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Default="007069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тверждении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тановлением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09.12.2014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997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2.10.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присвоение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принятому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внеочередные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редусмотренных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существуют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ысота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существуют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мелкодисперсных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выступающим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назначаться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бригадиров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инструкторов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практи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создаваемой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жностные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полномочия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специалисты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экзаменационных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комиссий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составляющей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оформленного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бланке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3.1.11.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азработчика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едневной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ливаются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твовать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вспомогательное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льжение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ыкание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Default="007069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Default="007069F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</w:t>
      </w:r>
      <w:r>
        <w:rPr>
          <w:rFonts w:hAnsi="Times New Roman" w:cs="Times New Roman"/>
          <w:color w:val="000000"/>
          <w:sz w:val="24"/>
          <w:szCs w:val="24"/>
        </w:rPr>
        <w:t>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7383" w:rsidRPr="007069FB" w:rsidRDefault="007069F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мокры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7383" w:rsidRPr="007069FB" w:rsidRDefault="007069F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582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ентации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3.6.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оторыми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противном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закрыть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7383" w:rsidRPr="007069FB" w:rsidRDefault="007069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Default="007069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Default="007069F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Pr="007069FB" w:rsidRDefault="007069F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оковок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паркет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плитка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нескользкого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электропроводк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выполняемого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подготовлены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удерживающие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позиционирования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качест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безлямочных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ввиду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позвоночник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выпадени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длительного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статичного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ненужными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мешающими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лишнее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неиспользуемое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ждающих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редственного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габарита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разлета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раскаленных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падаю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выпасть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обозначаются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Default="007069F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крепления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съемного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инциденто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показывают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нецелесообразно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плоскостям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подвеса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безопорном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состоящая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позиционирования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амортизатор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карабины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Структурный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спасательных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используемым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точкам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защемлен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ограничители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узел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совмещен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утяжелителем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одновременное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отражены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непреднамеренно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распускаться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развязываться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экстренная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эвакуация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угроза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одновременного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конструктивно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входящее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регулируемую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подножку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сердечником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низкого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тетических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позиционирования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подняты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возвращаться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конструкциям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высотным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объектам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расположением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самостраховка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актором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непрерывность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объектам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тормозная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снабженным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амортизации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удерживается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Графические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соотношен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рывка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поднимающийся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соединительным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спускающегося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Поднимающийся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соединительными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позиционирования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удерживаться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плеч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обрезку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поднимающиеся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страхующие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асного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нкретных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определяющим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специфику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подсоединенных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угловые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прогиба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рывке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подтверждаться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лизированными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расчетами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конструктивным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угловых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подтверждаться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предъявляемым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подтверждение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подтверждающего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концевые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угловые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агрузка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прогиба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рывке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подтверждаться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расчетами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провисания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прогиба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рывке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учитываться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расчете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переходных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скольжения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асположенные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включающее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гибкую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нижним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ферм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ригелям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минимальный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существующий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пролета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назначаться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пролета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рекомендованной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пролета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рекомендованной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соприкасается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Промежуточная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вертикальную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статическую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площадок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трапов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опроки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паркет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плитка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нескользкого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приставляемых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снабжаются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монтируемые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прикрепляемую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ступе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транспортерами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оительно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пистолетов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ступенях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оживленным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выставлять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предупреждающего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гладком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стоят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предупреждая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приподнят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осматриваются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одмостей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Испытание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лестниц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проводят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7383" w:rsidRDefault="007069F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деревянных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6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Default="007069F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металлических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раз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12 </w:t>
      </w:r>
      <w:r>
        <w:rPr>
          <w:rFonts w:hAnsi="Times New Roman" w:cs="Times New Roman"/>
          <w:color w:val="000000"/>
          <w:sz w:val="24"/>
          <w:szCs w:val="24"/>
        </w:rPr>
        <w:t>месяцев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устраивают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поперечными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скатных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когтей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лазов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монтерских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Монтерские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предназначаются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железобетонными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пасынками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цилиндрических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Монтерские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оугольного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унифицированные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цилиндрические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статическую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1765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(180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остаточной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шипов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подножке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Default="007069F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изготовителя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Default="007069F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C7383" w:rsidRDefault="007069FB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изготовления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.1.48.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обледенелые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гололедно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изморозевых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тложений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создающих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нерасчетную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когтей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ручному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инструменту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применяемым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подсумках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подвешены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анкерным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(71-26).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ственных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5.5.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ственную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112).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овреждениях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C7383" w:rsidRPr="007069FB" w:rsidRDefault="007069F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восстан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Надавливания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количеств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сопровождающей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ерывной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1C7383" w:rsidRPr="007069FB" w:rsidRDefault="007069FB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1C7383" w:rsidRPr="007069FB" w:rsidRDefault="007069FB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редметами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1C7383" w:rsidRPr="007069FB" w:rsidRDefault="007069FB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равноме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C7383" w:rsidRPr="007069FB" w:rsidRDefault="007069FB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1C7383" w:rsidRPr="007069FB" w:rsidRDefault="007069FB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</w:t>
      </w:r>
      <w:r>
        <w:rPr>
          <w:rFonts w:hAnsi="Times New Roman" w:cs="Times New Roman"/>
          <w:color w:val="000000"/>
          <w:sz w:val="24"/>
          <w:szCs w:val="24"/>
        </w:rPr>
        <w:t>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1C7383" w:rsidRPr="007069FB" w:rsidRDefault="007069FB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придавли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1C7383" w:rsidRPr="007069FB" w:rsidRDefault="007069F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звоночника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1C7383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звестью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маслом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Default="007069F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Default="007069FB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карби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1C7383" w:rsidRPr="007069FB" w:rsidRDefault="007069FB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усиливаю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тщательн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нтакте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изолировать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предотвращени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прекращен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вязанных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1C7383" w:rsidRPr="007069FB" w:rsidRDefault="007069F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доступ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Pr="007069FB" w:rsidRDefault="007069F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эпилептичес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C7383" w:rsidRDefault="007069FB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гревание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</w:t>
      </w:r>
      <w:r>
        <w:rPr>
          <w:rFonts w:hAnsi="Times New Roman" w:cs="Times New Roman"/>
          <w:color w:val="000000"/>
          <w:sz w:val="24"/>
          <w:szCs w:val="24"/>
        </w:rPr>
        <w:t>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положение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термич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1C73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отключе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опасность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C7383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69FB" w:rsidRPr="007069FB" w:rsidRDefault="007069F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 </w:t>
      </w:r>
      <w:r w:rsidRPr="007069F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https://1otruda.ru/#/document/118/109056/</w:t>
      </w:r>
    </w:p>
    <w:sectPr w:rsidR="007069FB" w:rsidRPr="007069FB" w:rsidSect="001C738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D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80E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2641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F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378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275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847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33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567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335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B00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F78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2E0B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A80B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1F49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2F7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9805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ED107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F60F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B605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F672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191D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1437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5A2A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7645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3646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6154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5"/>
  </w:num>
  <w:num w:numId="5">
    <w:abstractNumId w:val="18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16"/>
  </w:num>
  <w:num w:numId="11">
    <w:abstractNumId w:val="14"/>
  </w:num>
  <w:num w:numId="12">
    <w:abstractNumId w:val="26"/>
  </w:num>
  <w:num w:numId="13">
    <w:abstractNumId w:val="15"/>
  </w:num>
  <w:num w:numId="14">
    <w:abstractNumId w:val="12"/>
  </w:num>
  <w:num w:numId="15">
    <w:abstractNumId w:val="23"/>
  </w:num>
  <w:num w:numId="16">
    <w:abstractNumId w:val="21"/>
  </w:num>
  <w:num w:numId="17">
    <w:abstractNumId w:val="25"/>
  </w:num>
  <w:num w:numId="18">
    <w:abstractNumId w:val="13"/>
  </w:num>
  <w:num w:numId="19">
    <w:abstractNumId w:val="20"/>
  </w:num>
  <w:num w:numId="20">
    <w:abstractNumId w:val="0"/>
  </w:num>
  <w:num w:numId="21">
    <w:abstractNumId w:val="10"/>
  </w:num>
  <w:num w:numId="22">
    <w:abstractNumId w:val="24"/>
  </w:num>
  <w:num w:numId="23">
    <w:abstractNumId w:val="2"/>
  </w:num>
  <w:num w:numId="24">
    <w:abstractNumId w:val="22"/>
  </w:num>
  <w:num w:numId="25">
    <w:abstractNumId w:val="7"/>
  </w:num>
  <w:num w:numId="26">
    <w:abstractNumId w:val="9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C7383"/>
    <w:rsid w:val="002D33B1"/>
    <w:rsid w:val="002D3591"/>
    <w:rsid w:val="003514A0"/>
    <w:rsid w:val="004F7E17"/>
    <w:rsid w:val="005A05CE"/>
    <w:rsid w:val="00653AF6"/>
    <w:rsid w:val="007069F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9937</Words>
  <Characters>56647</Characters>
  <Application>Microsoft Office Word</Application>
  <DocSecurity>0</DocSecurity>
  <Lines>472</Lines>
  <Paragraphs>132</Paragraphs>
  <ScaleCrop>false</ScaleCrop>
  <Company/>
  <LinksUpToDate>false</LinksUpToDate>
  <CharactersWithSpaces>66452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2022-11-21T04:14:00Z</dcterms:modified>
</cp:coreProperties>
</file>